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»  апреля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172700">
        <w:rPr>
          <w:rFonts w:ascii="Times New Roman" w:hAnsi="Times New Roman" w:cs="Times New Roman"/>
          <w:sz w:val="24"/>
          <w:szCs w:val="24"/>
        </w:rPr>
        <w:t>Энтузиастов</w:t>
      </w:r>
      <w:r w:rsidR="001F0166">
        <w:rPr>
          <w:rFonts w:ascii="Times New Roman" w:hAnsi="Times New Roman" w:cs="Times New Roman"/>
          <w:sz w:val="24"/>
          <w:szCs w:val="24"/>
        </w:rPr>
        <w:t>, земельный участок 2а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34:29:040004:307);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Молодежная, земельный участок 1в (кадастровый номер 34:29:040004:306).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CFF8-17ED-4237-B7EE-000F884D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48</cp:revision>
  <cp:lastPrinted>2025-04-30T06:24:00Z</cp:lastPrinted>
  <dcterms:created xsi:type="dcterms:W3CDTF">2021-04-21T13:36:00Z</dcterms:created>
  <dcterms:modified xsi:type="dcterms:W3CDTF">2025-04-30T07:14:00Z</dcterms:modified>
</cp:coreProperties>
</file>