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3E" w:rsidRPr="008C0254" w:rsidRDefault="001A693E" w:rsidP="001A693E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proofErr w:type="spellStart"/>
      <w:r w:rsidRPr="008C0254">
        <w:rPr>
          <w:b/>
          <w:bCs/>
        </w:rPr>
        <w:t>Старополтавская</w:t>
      </w:r>
      <w:proofErr w:type="spellEnd"/>
      <w:r w:rsidRPr="008C0254">
        <w:rPr>
          <w:b/>
          <w:bCs/>
        </w:rPr>
        <w:t xml:space="preserve"> сельская Дума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jc w:val="center"/>
      </w:pPr>
      <w:r w:rsidRPr="008C0254">
        <w:rPr>
          <w:b/>
          <w:bCs/>
        </w:rPr>
        <w:t>Старополтавского муниципального района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jc w:val="center"/>
      </w:pPr>
      <w:r w:rsidRPr="008C0254">
        <w:rPr>
          <w:b/>
          <w:bCs/>
        </w:rPr>
        <w:t>Волгоградской области</w:t>
      </w:r>
    </w:p>
    <w:p w:rsidR="001A693E" w:rsidRPr="008C0254" w:rsidRDefault="001A693E" w:rsidP="001A693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8C0254">
        <w:rPr>
          <w:rFonts w:ascii="Times New Roman" w:hAnsi="Times New Roman"/>
          <w:sz w:val="24"/>
          <w:szCs w:val="24"/>
        </w:rPr>
        <w:t> </w:t>
      </w:r>
    </w:p>
    <w:p w:rsidR="001A693E" w:rsidRDefault="001A693E" w:rsidP="001A693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8C0254">
        <w:rPr>
          <w:rFonts w:ascii="Times New Roman" w:hAnsi="Times New Roman"/>
          <w:sz w:val="24"/>
          <w:szCs w:val="24"/>
          <w:lang w:val="ru-RU"/>
        </w:rPr>
        <w:t>РЕШЕНИЕ</w:t>
      </w:r>
    </w:p>
    <w:p w:rsidR="00D30663" w:rsidRPr="00D30663" w:rsidRDefault="00D30663" w:rsidP="00D30663">
      <w:pPr>
        <w:rPr>
          <w:lang w:val="ru-RU"/>
        </w:rPr>
      </w:pPr>
      <w:r w:rsidRPr="00D30663">
        <w:rPr>
          <w:lang w:val="ru-RU"/>
        </w:rPr>
        <w:t xml:space="preserve">«12»  мая 2025                                                                      </w:t>
      </w:r>
      <w:r>
        <w:rPr>
          <w:lang w:val="ru-RU"/>
        </w:rPr>
        <w:t xml:space="preserve">              </w:t>
      </w:r>
      <w:r w:rsidRPr="00D30663">
        <w:rPr>
          <w:lang w:val="ru-RU"/>
        </w:rPr>
        <w:t xml:space="preserve">                     № 57/1</w:t>
      </w:r>
    </w:p>
    <w:p w:rsidR="00D30663" w:rsidRPr="00D30663" w:rsidRDefault="00D30663" w:rsidP="00D30663">
      <w:pPr>
        <w:rPr>
          <w:lang w:val="ru-RU"/>
        </w:rPr>
      </w:pPr>
    </w:p>
    <w:p w:rsidR="000950DD" w:rsidRPr="008C0254" w:rsidRDefault="000950DD">
      <w:pPr>
        <w:rPr>
          <w:lang w:val="ru-RU"/>
        </w:rPr>
      </w:pPr>
    </w:p>
    <w:p w:rsidR="001A693E" w:rsidRPr="008C0254" w:rsidRDefault="001A693E" w:rsidP="008C0254">
      <w:pPr>
        <w:jc w:val="center"/>
        <w:rPr>
          <w:lang w:val="ru-RU"/>
        </w:rPr>
      </w:pPr>
      <w:r w:rsidRPr="008C0254">
        <w:rPr>
          <w:lang w:val="ru-RU"/>
        </w:rPr>
        <w:t xml:space="preserve">О внесении изменений в Положение «О бюджетном процессе в </w:t>
      </w:r>
      <w:proofErr w:type="spellStart"/>
      <w:r w:rsidRPr="008C0254">
        <w:rPr>
          <w:lang w:val="ru-RU"/>
        </w:rPr>
        <w:t>Старополтавском</w:t>
      </w:r>
      <w:proofErr w:type="spellEnd"/>
      <w:r w:rsidRPr="008C0254">
        <w:rPr>
          <w:lang w:val="ru-RU"/>
        </w:rPr>
        <w:t xml:space="preserve"> сельском поселении», утвержденное решением </w:t>
      </w:r>
      <w:proofErr w:type="spellStart"/>
      <w:r w:rsidRPr="008C0254">
        <w:rPr>
          <w:lang w:val="ru-RU"/>
        </w:rPr>
        <w:t>Старополтавской</w:t>
      </w:r>
      <w:proofErr w:type="spellEnd"/>
      <w:r w:rsidRPr="008C0254">
        <w:rPr>
          <w:lang w:val="ru-RU"/>
        </w:rPr>
        <w:t xml:space="preserve"> сельской Думы от 17.04.2019 № 13/3</w:t>
      </w:r>
    </w:p>
    <w:p w:rsidR="001A693E" w:rsidRPr="008C0254" w:rsidRDefault="001A693E">
      <w:pPr>
        <w:rPr>
          <w:lang w:val="ru-RU"/>
        </w:rPr>
      </w:pP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В соответствии с </w:t>
      </w:r>
      <w:hyperlink r:id="rId6" w:tgtFrame="_blank" w:history="1">
        <w:r w:rsidRPr="008C0254">
          <w:rPr>
            <w:rStyle w:val="11"/>
          </w:rPr>
          <w:t>Бюджетным кодексом</w:t>
        </w:r>
      </w:hyperlink>
      <w:r w:rsidRPr="008C0254">
        <w:t> Российской Федерации,  Федеральным законом от 06.10.2003 N 131-ФЗ "</w:t>
      </w:r>
      <w:hyperlink r:id="rId7" w:tgtFrame="_blank" w:history="1">
        <w:r w:rsidRPr="008C0254">
          <w:rPr>
            <w:rStyle w:val="11"/>
          </w:rPr>
          <w:t>Об общих принципах организации местного самоуправления в Российской Федерации</w:t>
        </w:r>
      </w:hyperlink>
      <w:r w:rsidRPr="008C0254">
        <w:t>", </w:t>
      </w:r>
      <w:hyperlink r:id="rId8" w:tgtFrame="_blank" w:history="1">
        <w:r w:rsidRPr="008C0254">
          <w:rPr>
            <w:rStyle w:val="11"/>
          </w:rPr>
          <w:t>Уставом</w:t>
        </w:r>
      </w:hyperlink>
      <w:r w:rsidRPr="008C0254">
        <w:t xml:space="preserve"> Старополтавского сельского поселения, </w:t>
      </w:r>
      <w:proofErr w:type="spellStart"/>
      <w:r w:rsidRPr="008C0254">
        <w:t>Старополтавская</w:t>
      </w:r>
      <w:proofErr w:type="spellEnd"/>
      <w:r w:rsidRPr="008C0254">
        <w:t xml:space="preserve"> сельская Дума решила:</w:t>
      </w:r>
    </w:p>
    <w:p w:rsidR="001A693E" w:rsidRPr="008C0254" w:rsidRDefault="001A693E" w:rsidP="001A693E">
      <w:pPr>
        <w:rPr>
          <w:lang w:val="ru-RU"/>
        </w:rPr>
      </w:pPr>
    </w:p>
    <w:p w:rsidR="001A693E" w:rsidRPr="008C0254" w:rsidRDefault="001A693E" w:rsidP="008C0254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8C0254">
        <w:rPr>
          <w:lang w:val="ru-RU"/>
        </w:rPr>
        <w:t xml:space="preserve">Внести изменения в Положение «О бюджетном процессе в </w:t>
      </w:r>
      <w:proofErr w:type="spellStart"/>
      <w:r w:rsidRPr="008C0254">
        <w:rPr>
          <w:lang w:val="ru-RU"/>
        </w:rPr>
        <w:t>Старополтавском</w:t>
      </w:r>
      <w:proofErr w:type="spellEnd"/>
      <w:r w:rsidRPr="008C0254">
        <w:rPr>
          <w:lang w:val="ru-RU"/>
        </w:rPr>
        <w:t xml:space="preserve"> сельском поселении», утвержденное решением </w:t>
      </w:r>
      <w:proofErr w:type="spellStart"/>
      <w:r w:rsidRPr="008C0254">
        <w:rPr>
          <w:lang w:val="ru-RU"/>
        </w:rPr>
        <w:t>Старополтавской</w:t>
      </w:r>
      <w:proofErr w:type="spellEnd"/>
      <w:r w:rsidRPr="008C0254">
        <w:rPr>
          <w:lang w:val="ru-RU"/>
        </w:rPr>
        <w:t xml:space="preserve"> сельской Думы от 17.04.2019 № 13/3:</w:t>
      </w:r>
    </w:p>
    <w:p w:rsidR="001A693E" w:rsidRPr="008C0254" w:rsidRDefault="001A693E" w:rsidP="001A693E">
      <w:pPr>
        <w:rPr>
          <w:lang w:val="ru-RU"/>
        </w:rPr>
      </w:pPr>
    </w:p>
    <w:p w:rsidR="001A693E" w:rsidRPr="008C0254" w:rsidRDefault="001A693E" w:rsidP="001A693E">
      <w:pPr>
        <w:pStyle w:val="a3"/>
        <w:numPr>
          <w:ilvl w:val="1"/>
          <w:numId w:val="1"/>
        </w:numPr>
        <w:rPr>
          <w:lang w:val="ru-RU"/>
        </w:rPr>
      </w:pPr>
      <w:r w:rsidRPr="008C0254">
        <w:rPr>
          <w:lang w:val="ru-RU"/>
        </w:rPr>
        <w:t xml:space="preserve">Абзац семнадцатый и </w:t>
      </w:r>
      <w:r w:rsidRPr="007A7B4C">
        <w:rPr>
          <w:highlight w:val="yellow"/>
          <w:lang w:val="ru-RU"/>
        </w:rPr>
        <w:t>абзац двадцать девятый пункта 1 статьи 8</w:t>
      </w:r>
      <w:r w:rsidRPr="008C0254">
        <w:rPr>
          <w:lang w:val="ru-RU"/>
        </w:rPr>
        <w:t xml:space="preserve"> исключить;</w:t>
      </w:r>
    </w:p>
    <w:p w:rsidR="001A693E" w:rsidRPr="008C0254" w:rsidRDefault="001A693E" w:rsidP="001A693E">
      <w:pPr>
        <w:pStyle w:val="a3"/>
        <w:numPr>
          <w:ilvl w:val="1"/>
          <w:numId w:val="1"/>
        </w:numPr>
        <w:rPr>
          <w:lang w:val="ru-RU"/>
        </w:rPr>
      </w:pPr>
      <w:r w:rsidRPr="008C0254">
        <w:rPr>
          <w:lang w:val="ru-RU"/>
        </w:rPr>
        <w:t>Пункты 1, 2 статьи 11 изложить в новой редакции:</w:t>
      </w:r>
    </w:p>
    <w:p w:rsidR="001A693E" w:rsidRPr="008C0254" w:rsidRDefault="001A693E" w:rsidP="001A693E">
      <w:pPr>
        <w:rPr>
          <w:lang w:val="ru-RU"/>
        </w:rPr>
      </w:pPr>
    </w:p>
    <w:p w:rsidR="001A693E" w:rsidRPr="008C0254" w:rsidRDefault="008C0254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«</w:t>
      </w:r>
      <w:r w:rsidR="001A693E" w:rsidRPr="008C0254">
        <w:t>1. Главный администратор доходов бюджета обладает бюджетными полномочиями: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формирует </w:t>
      </w:r>
      <w:hyperlink r:id="rId9" w:anchor="/document/5430925/entry/0" w:history="1">
        <w:r w:rsidRPr="008C0254">
          <w:t>перечень</w:t>
        </w:r>
      </w:hyperlink>
      <w:r w:rsidRPr="008C0254">
        <w:t> подведомственных ему администраторов доходов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представляет сведения, необходимые для составления среднесрочного финансового плана и (или) проекта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представляет сведения для составления и ведения кассового плана;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формирует и представляет бюджетную отчетность главного администратора доходов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утверждает </w:t>
      </w:r>
      <w:hyperlink r:id="rId10" w:anchor="/multilink/12112604/paragraph/50618174/number/0" w:history="1">
        <w:r w:rsidRPr="008C0254">
          <w:t>методику</w:t>
        </w:r>
      </w:hyperlink>
      <w:r w:rsidRPr="008C0254">
        <w:t> прогнозирования поступлений доходов в бюджет в соответствии с </w:t>
      </w:r>
      <w:hyperlink r:id="rId11" w:anchor="/document/71430606/entry/1000" w:history="1">
        <w:r w:rsidRPr="008C0254">
          <w:t>общими требованиями</w:t>
        </w:r>
      </w:hyperlink>
      <w:r w:rsidRPr="008C0254">
        <w:t> к такой методике, установленными Правительством Российской Федерации;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2. Администратор доходов бюджета обладает следующими бюджетными полномочиями: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 xml:space="preserve">осуществляет начисление, учет и </w:t>
      </w:r>
      <w:proofErr w:type="gramStart"/>
      <w:r w:rsidRPr="008C0254">
        <w:t>контроль за</w:t>
      </w:r>
      <w:proofErr w:type="gramEnd"/>
      <w:r w:rsidRPr="008C0254"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осуществляет взыскание задолженности по платежам в бюджет, пеней и штрафов;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 </w:t>
      </w:r>
      <w:hyperlink r:id="rId12" w:anchor="/document/74263920/entry/1028" w:history="1">
        <w:r w:rsidRPr="008C0254">
          <w:t>порядке</w:t>
        </w:r>
      </w:hyperlink>
      <w:r w:rsidRPr="008C0254">
        <w:t>, установленном Министерством финансов Российской Федерации;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lastRenderedPageBreak/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proofErr w:type="gramStart"/>
      <w:r w:rsidRPr="008C0254"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 </w:t>
      </w:r>
      <w:hyperlink r:id="rId13" w:anchor="/document/12177515/entry/0" w:history="1">
        <w:r w:rsidRPr="008C0254">
          <w:t>Федеральном законом</w:t>
        </w:r>
      </w:hyperlink>
      <w:r w:rsidRPr="008C0254">
        <w:t> от 27 июля 2010 года N 210-ФЗ</w:t>
      </w:r>
      <w:proofErr w:type="gramEnd"/>
      <w:r w:rsidRPr="008C0254">
        <w:t xml:space="preserve">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принимает решение о признании безнадежной к взысканию задолженности по платежам в бюджет;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устанавливает </w:t>
      </w:r>
      <w:hyperlink r:id="rId14" w:anchor="/multilink/12112604/paragraph/293827155/number/0" w:history="1">
        <w:r w:rsidRPr="008C0254">
          <w:t>регламент</w:t>
        </w:r>
      </w:hyperlink>
      <w:r w:rsidRPr="008C0254">
        <w:t> реализации полномочий по взысканию дебиторской задолженности по платежам в бюджет, пеням и штрафам по ним, разработанный в соответствии с </w:t>
      </w:r>
      <w:hyperlink r:id="rId15" w:anchor="/document/410599084/entry/1000" w:history="1">
        <w:r w:rsidRPr="008C0254">
          <w:t>общими требованиями</w:t>
        </w:r>
      </w:hyperlink>
      <w:r w:rsidRPr="008C0254">
        <w:t>, установленными Министерством финансов Российской Федерации;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proofErr w:type="gramStart"/>
      <w:r w:rsidRPr="008C0254">
        <w:t>.</w:t>
      </w:r>
      <w:r w:rsidR="008C0254" w:rsidRPr="008C0254">
        <w:t>»</w:t>
      </w:r>
      <w:proofErr w:type="gramEnd"/>
    </w:p>
    <w:p w:rsidR="001A693E" w:rsidRPr="008C0254" w:rsidRDefault="001A693E" w:rsidP="001A693E">
      <w:pPr>
        <w:rPr>
          <w:lang w:val="ru-RU"/>
        </w:rPr>
      </w:pPr>
    </w:p>
    <w:p w:rsidR="001A693E" w:rsidRPr="008C0254" w:rsidRDefault="001A693E" w:rsidP="001A693E">
      <w:pPr>
        <w:rPr>
          <w:lang w:val="ru-RU"/>
        </w:rPr>
      </w:pPr>
    </w:p>
    <w:p w:rsidR="001A693E" w:rsidRPr="008C0254" w:rsidRDefault="001A693E" w:rsidP="001A693E">
      <w:pPr>
        <w:pStyle w:val="a3"/>
        <w:numPr>
          <w:ilvl w:val="1"/>
          <w:numId w:val="1"/>
        </w:numPr>
        <w:rPr>
          <w:lang w:val="ru-RU"/>
        </w:rPr>
      </w:pPr>
      <w:r w:rsidRPr="008C0254">
        <w:rPr>
          <w:lang w:val="ru-RU"/>
        </w:rPr>
        <w:t>Пункт 1 статьи 12 изложить в новой редакции:</w:t>
      </w:r>
    </w:p>
    <w:p w:rsidR="001A693E" w:rsidRPr="008C0254" w:rsidRDefault="001A693E" w:rsidP="001A693E">
      <w:pPr>
        <w:rPr>
          <w:lang w:val="ru-RU"/>
        </w:rPr>
      </w:pPr>
    </w:p>
    <w:p w:rsidR="001A693E" w:rsidRPr="008C0254" w:rsidRDefault="008C0254" w:rsidP="008C0254">
      <w:pPr>
        <w:pStyle w:val="normalweb"/>
        <w:spacing w:before="0" w:beforeAutospacing="0" w:after="0" w:afterAutospacing="0"/>
        <w:jc w:val="both"/>
      </w:pPr>
      <w:r w:rsidRPr="008C0254">
        <w:t xml:space="preserve">«1. </w:t>
      </w:r>
      <w:r w:rsidR="001A693E" w:rsidRPr="008C0254">
        <w:t>Главный администратор источников финансирования дефицита бюджета обладает следующими бюджетными полномочиями: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формирует </w:t>
      </w:r>
      <w:hyperlink r:id="rId16" w:anchor="/multilink/12112604/paragraph/7542/number/0" w:history="1">
        <w:r w:rsidRPr="008C0254">
          <w:t>перечни</w:t>
        </w:r>
      </w:hyperlink>
      <w:r w:rsidRPr="008C0254">
        <w:t> подведомственных ему администраторов источников финансирования дефицита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proofErr w:type="gramStart"/>
      <w:r w:rsidRPr="008C0254"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 </w:t>
      </w:r>
      <w:hyperlink r:id="rId17" w:anchor="/document/12180625/entry/0" w:history="1">
        <w:r w:rsidRPr="008C0254">
          <w:t>законодательством</w:t>
        </w:r>
      </w:hyperlink>
      <w:r w:rsidRPr="008C0254">
        <w:t> Российской Федерации</w:t>
      </w:r>
      <w:proofErr w:type="gramEnd"/>
      <w:r w:rsidRPr="008C0254">
        <w:t xml:space="preserve"> о таможенном регулировании);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 xml:space="preserve">формирует бюджетную отчетность главного </w:t>
      </w:r>
      <w:proofErr w:type="gramStart"/>
      <w:r w:rsidRPr="008C0254">
        <w:t>администратора источников финансирования дефицита бюджета</w:t>
      </w:r>
      <w:proofErr w:type="gramEnd"/>
      <w:r w:rsidRPr="008C0254">
        <w:t>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утверждает </w:t>
      </w:r>
      <w:hyperlink r:id="rId18" w:anchor="/multilink/12112604/paragraph/50618178/number/0" w:history="1">
        <w:r w:rsidRPr="008C0254">
          <w:t>методику</w:t>
        </w:r>
      </w:hyperlink>
      <w:r w:rsidRPr="008C0254">
        <w:t> прогнозирования поступлений по источникам финансирования дефицита бюджета в соответствии с </w:t>
      </w:r>
      <w:hyperlink r:id="rId19" w:anchor="/document/71409728/entry/1000" w:history="1">
        <w:r w:rsidRPr="008C0254">
          <w:t>общими требованиями</w:t>
        </w:r>
      </w:hyperlink>
      <w:r w:rsidRPr="008C0254">
        <w:t> к такой методике, установленными Правительством Российской Федерации;</w:t>
      </w:r>
    </w:p>
    <w:p w:rsidR="001A693E" w:rsidRPr="008C0254" w:rsidRDefault="00044FF6" w:rsidP="001A693E">
      <w:pPr>
        <w:pStyle w:val="normalweb"/>
        <w:spacing w:before="0" w:beforeAutospacing="0" w:after="0" w:afterAutospacing="0"/>
        <w:ind w:firstLine="540"/>
        <w:jc w:val="both"/>
      </w:pPr>
      <w:hyperlink r:id="rId20" w:anchor="/multilink/12112604/paragraph/52689526/number/0" w:history="1">
        <w:r w:rsidR="001A693E" w:rsidRPr="008C0254">
          <w:t>составляет</w:t>
        </w:r>
      </w:hyperlink>
      <w:r w:rsidR="001A693E" w:rsidRPr="008C0254">
        <w:t> обоснования бюджетных ассигнований.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Администратор источников финансирования дефицита бюджета обладает следующими бюджетными полномочиями: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proofErr w:type="gramStart"/>
      <w:r w:rsidRPr="008C0254">
        <w:lastRenderedPageBreak/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 </w:t>
      </w:r>
      <w:hyperlink r:id="rId21" w:anchor="/document/12180625/entry/0" w:history="1">
        <w:r w:rsidRPr="008C0254">
          <w:t>законодательством</w:t>
        </w:r>
      </w:hyperlink>
      <w:r w:rsidRPr="008C0254">
        <w:t> Российской Федерации</w:t>
      </w:r>
      <w:proofErr w:type="gramEnd"/>
      <w:r w:rsidRPr="008C0254">
        <w:t xml:space="preserve"> о таможенном регулировании);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 xml:space="preserve">осуществляет </w:t>
      </w:r>
      <w:proofErr w:type="gramStart"/>
      <w:r w:rsidRPr="008C0254">
        <w:t>контроль за</w:t>
      </w:r>
      <w:proofErr w:type="gramEnd"/>
      <w:r w:rsidRPr="008C0254">
        <w:t xml:space="preserve"> полнотой и своевременностью поступления в бюджет источников финансирования дефицита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обеспечивает поступления в бюджет и выплаты из бюджета по источникам финансирования дефицита бюджета;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формирует и представляет бюджетную отчетность;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в случае и порядке, установленных соответствующим главным администратором источников финансирования дефицита бюджета, осуществляет отдельные бюджетные полномочия главного администратора источников финансирования дефицита бюджета, в ведении которого находится;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ind w:firstLine="540"/>
        <w:jc w:val="both"/>
      </w:pPr>
      <w:r w:rsidRPr="008C0254">
        <w:t>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8C0254" w:rsidRPr="008C0254">
        <w:t>»</w:t>
      </w:r>
      <w:r w:rsidRPr="008C0254">
        <w:t>.</w:t>
      </w:r>
    </w:p>
    <w:p w:rsidR="001A693E" w:rsidRPr="008C0254" w:rsidRDefault="001A693E" w:rsidP="001A693E">
      <w:pPr>
        <w:rPr>
          <w:lang w:val="ru-RU"/>
        </w:rPr>
      </w:pPr>
    </w:p>
    <w:p w:rsidR="001A693E" w:rsidRPr="007A7B4C" w:rsidRDefault="001A693E" w:rsidP="001A693E">
      <w:pPr>
        <w:pStyle w:val="a3"/>
        <w:numPr>
          <w:ilvl w:val="1"/>
          <w:numId w:val="1"/>
        </w:numPr>
        <w:rPr>
          <w:highlight w:val="yellow"/>
          <w:lang w:val="ru-RU"/>
        </w:rPr>
      </w:pPr>
      <w:r w:rsidRPr="007A7B4C">
        <w:rPr>
          <w:highlight w:val="yellow"/>
          <w:lang w:val="ru-RU"/>
        </w:rPr>
        <w:t>В пункте 3 статьи 14 слова «и ведомственные целевые программы», «и ведомственным целевым программам» исключить;</w:t>
      </w:r>
    </w:p>
    <w:p w:rsidR="001A693E" w:rsidRPr="008C0254" w:rsidRDefault="001A693E" w:rsidP="001A693E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</w:p>
    <w:p w:rsidR="001A693E" w:rsidRPr="008C0254" w:rsidRDefault="001A693E" w:rsidP="001A693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</w:pPr>
      <w:r w:rsidRPr="008C0254">
        <w:rPr>
          <w:shd w:val="clear" w:color="auto" w:fill="FFFFFF"/>
        </w:rPr>
        <w:t>в </w:t>
      </w:r>
      <w:hyperlink r:id="rId22" w:anchor="/document/12112604/entry/184202" w:history="1">
        <w:r w:rsidRPr="008C0254">
          <w:rPr>
            <w:rStyle w:val="a4"/>
            <w:color w:val="auto"/>
            <w:u w:val="none"/>
            <w:shd w:val="clear" w:color="auto" w:fill="FFFFFF"/>
          </w:rPr>
          <w:t>пункте</w:t>
        </w:r>
      </w:hyperlink>
      <w:r w:rsidRPr="008C0254">
        <w:t xml:space="preserve"> 3 статьи 22 </w:t>
      </w:r>
      <w:r w:rsidRPr="008C0254">
        <w:rPr>
          <w:shd w:val="clear" w:color="auto" w:fill="FFFFFF"/>
        </w:rPr>
        <w:t> слова "представляются паспорта" заменить словами "представляются паспорта (проекты паспортов)";</w:t>
      </w:r>
    </w:p>
    <w:p w:rsidR="001A693E" w:rsidRPr="007A7B4C" w:rsidRDefault="001A693E" w:rsidP="001A693E">
      <w:pPr>
        <w:pStyle w:val="a3"/>
        <w:numPr>
          <w:ilvl w:val="1"/>
          <w:numId w:val="1"/>
        </w:numPr>
        <w:rPr>
          <w:highlight w:val="yellow"/>
          <w:lang w:val="ru-RU"/>
        </w:rPr>
      </w:pPr>
      <w:r w:rsidRPr="007A7B4C">
        <w:rPr>
          <w:highlight w:val="yellow"/>
          <w:lang w:val="ru-RU"/>
        </w:rPr>
        <w:t>в пункте 2 статьи 26 слова «, а также ведомственных целевых программ» исключить;</w:t>
      </w:r>
    </w:p>
    <w:p w:rsidR="001A693E" w:rsidRPr="008C0254" w:rsidRDefault="001A693E" w:rsidP="001A693E">
      <w:pPr>
        <w:pStyle w:val="a3"/>
        <w:numPr>
          <w:ilvl w:val="1"/>
          <w:numId w:val="1"/>
        </w:numPr>
        <w:rPr>
          <w:lang w:val="ru-RU"/>
        </w:rPr>
      </w:pPr>
      <w:r w:rsidRPr="008C0254">
        <w:rPr>
          <w:lang w:val="ru-RU"/>
        </w:rPr>
        <w:t>абзац второй пункта 1 статьи 32 исключить;</w:t>
      </w:r>
    </w:p>
    <w:p w:rsidR="001A693E" w:rsidRPr="008C0254" w:rsidRDefault="001A693E" w:rsidP="001A693E">
      <w:pPr>
        <w:pStyle w:val="a3"/>
        <w:numPr>
          <w:ilvl w:val="1"/>
          <w:numId w:val="1"/>
        </w:numPr>
        <w:rPr>
          <w:lang w:val="ru-RU"/>
        </w:rPr>
      </w:pPr>
      <w:r w:rsidRPr="008C0254">
        <w:rPr>
          <w:lang w:val="ru-RU"/>
        </w:rPr>
        <w:t>в пункте 3 статьи 32 слово «Кассовое» заменить словом «Казначейское»;</w:t>
      </w:r>
    </w:p>
    <w:p w:rsidR="001A693E" w:rsidRPr="008C0254" w:rsidRDefault="008C0254" w:rsidP="001A693E">
      <w:pPr>
        <w:pStyle w:val="a3"/>
        <w:numPr>
          <w:ilvl w:val="1"/>
          <w:numId w:val="1"/>
        </w:numPr>
        <w:rPr>
          <w:lang w:val="ru-RU"/>
        </w:rPr>
      </w:pPr>
      <w:r w:rsidRPr="008C0254">
        <w:rPr>
          <w:lang w:val="ru-RU"/>
        </w:rPr>
        <w:t>пункт 1 статьи 40 изложить в новой редакции:</w:t>
      </w:r>
    </w:p>
    <w:p w:rsidR="008C0254" w:rsidRPr="008C0254" w:rsidRDefault="008C0254" w:rsidP="008C0254">
      <w:pPr>
        <w:rPr>
          <w:lang w:val="ru-RU"/>
        </w:rPr>
      </w:pP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>
        <w:t>«</w:t>
      </w:r>
      <w:r w:rsidRPr="008C0254">
        <w:t xml:space="preserve">1. Муниципальный финансовый контроль осуществляется </w:t>
      </w:r>
      <w:r w:rsidRPr="008C0254">
        <w:rPr>
          <w:shd w:val="clear" w:color="auto" w:fill="FFFFFF"/>
        </w:rPr>
        <w:t>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</w:t>
      </w:r>
      <w:r>
        <w:rPr>
          <w:shd w:val="clear" w:color="auto" w:fill="FFFFFF"/>
        </w:rPr>
        <w:t>»</w:t>
      </w:r>
      <w:r w:rsidRPr="008C0254">
        <w:rPr>
          <w:shd w:val="clear" w:color="auto" w:fill="FFFFFF"/>
        </w:rPr>
        <w:t>.</w:t>
      </w:r>
    </w:p>
    <w:p w:rsidR="008C0254" w:rsidRPr="008C0254" w:rsidRDefault="008C0254" w:rsidP="008C0254">
      <w:pPr>
        <w:rPr>
          <w:lang w:val="ru-RU"/>
        </w:rPr>
      </w:pPr>
    </w:p>
    <w:p w:rsidR="008C0254" w:rsidRPr="008C0254" w:rsidRDefault="008C0254" w:rsidP="008C0254">
      <w:pPr>
        <w:pStyle w:val="a3"/>
        <w:numPr>
          <w:ilvl w:val="1"/>
          <w:numId w:val="1"/>
        </w:numPr>
        <w:jc w:val="both"/>
        <w:rPr>
          <w:lang w:val="ru-RU"/>
        </w:rPr>
      </w:pPr>
      <w:r w:rsidRPr="008C0254">
        <w:rPr>
          <w:lang w:val="ru-RU"/>
        </w:rPr>
        <w:t>В пунктах 2, 3 статьи 40 слова «в сфере бюджетных правоотношений» исключить;</w:t>
      </w:r>
    </w:p>
    <w:p w:rsidR="008C0254" w:rsidRPr="008C0254" w:rsidRDefault="008C0254" w:rsidP="008C0254">
      <w:pPr>
        <w:pStyle w:val="a3"/>
        <w:numPr>
          <w:ilvl w:val="1"/>
          <w:numId w:val="1"/>
        </w:numPr>
        <w:rPr>
          <w:lang w:val="ru-RU"/>
        </w:rPr>
      </w:pPr>
      <w:r w:rsidRPr="008C0254">
        <w:rPr>
          <w:lang w:val="ru-RU"/>
        </w:rPr>
        <w:t>Статьи 41, 42 признать утратившими силу;</w:t>
      </w:r>
    </w:p>
    <w:p w:rsidR="008C0254" w:rsidRPr="008C0254" w:rsidRDefault="008C0254" w:rsidP="008C0254">
      <w:pPr>
        <w:pStyle w:val="a3"/>
        <w:numPr>
          <w:ilvl w:val="1"/>
          <w:numId w:val="1"/>
        </w:numPr>
        <w:rPr>
          <w:lang w:val="ru-RU"/>
        </w:rPr>
      </w:pPr>
      <w:r w:rsidRPr="008C0254">
        <w:rPr>
          <w:lang w:val="ru-RU"/>
        </w:rPr>
        <w:t>Статьи 43, 44 изложить в новой редакции:</w:t>
      </w:r>
    </w:p>
    <w:p w:rsidR="008C0254" w:rsidRPr="008C0254" w:rsidRDefault="008C0254" w:rsidP="008C0254">
      <w:pPr>
        <w:rPr>
          <w:lang w:val="ru-RU"/>
        </w:rPr>
      </w:pP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>
        <w:rPr>
          <w:b/>
          <w:bCs/>
        </w:rPr>
        <w:t>«</w:t>
      </w:r>
      <w:r w:rsidRPr="008C0254">
        <w:rPr>
          <w:b/>
          <w:bCs/>
        </w:rPr>
        <w:t>Статья 43. Методы муниципального финансового контроля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 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 xml:space="preserve">1. </w:t>
      </w:r>
      <w:bookmarkStart w:id="1" w:name="p_248"/>
      <w:bookmarkEnd w:id="1"/>
      <w:r w:rsidRPr="008C0254">
        <w:t xml:space="preserve">Методами осуществления муниципального финансового контроля являются проверка, ревизия, обследование. 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 xml:space="preserve">2. Под проверкой 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</w:t>
      </w:r>
      <w:r w:rsidRPr="008C0254">
        <w:lastRenderedPageBreak/>
        <w:t>(финансовой) отчетности в отношении деятельности объекта контроля за определенный период.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Под ревизией в целях осуществления муниципального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Результаты проверки, ревизии оформляются актом.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3. Проверки подразделяются на камеральные и выездные, в том числе встречные проверки.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Под камеральными проверками в целях осуществления государственного (муниципального) финансового контроля понимаются проверки, проводимые по месту нахождения органа государственного (муниципального) финансового контроля на основании бюджетной отчетности, бухгалтерской (финансовой) отчетности и иных документов, представленных по его запросу.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Под выездными проверками в целях осуществления государственного (муниципального) финансового контроля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Под встречными проверками в целях осуществления государственного (муниципального) финансового контроля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 xml:space="preserve">4. Под обследованием в целях Бюджетного кодекса РФ понимаются анализ и оценка </w:t>
      </w:r>
      <w:proofErr w:type="gramStart"/>
      <w:r w:rsidRPr="008C0254">
        <w:t>состояния определенной сферы деятельности объекта контроля</w:t>
      </w:r>
      <w:proofErr w:type="gramEnd"/>
      <w:r w:rsidRPr="008C0254">
        <w:t>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Результаты обследования оформляются заключением.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 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rPr>
          <w:b/>
          <w:bCs/>
        </w:rPr>
        <w:t>Статья 44. Бюджетные меры принуждения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 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bookmarkStart w:id="2" w:name="sub_508482880"/>
      <w:bookmarkStart w:id="3" w:name="sub_30621"/>
      <w:bookmarkEnd w:id="2"/>
      <w:bookmarkEnd w:id="3"/>
      <w:r w:rsidRPr="008C0254">
        <w:t>1. Бюджетная мера принуждения применяется за совершение бюджетного нарушения, предусмотренного </w:t>
      </w:r>
      <w:hyperlink r:id="rId23" w:anchor="/document/12112604/entry/20030" w:history="1">
        <w:r w:rsidRPr="008C0254">
          <w:t>главой 30</w:t>
        </w:r>
      </w:hyperlink>
      <w:r w:rsidRPr="008C0254">
        <w:t> Бюджетного кодекса РФ, на основании </w:t>
      </w:r>
      <w:hyperlink r:id="rId24" w:anchor="/multilink/12112604/paragraph/97279405/number/1" w:history="1">
        <w:r w:rsidRPr="008C0254">
          <w:t>уведомления</w:t>
        </w:r>
      </w:hyperlink>
      <w:r w:rsidRPr="008C0254">
        <w:t xml:space="preserve"> о применении бюджетных мер принуждения органа муниципального финансового контроля. 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bookmarkStart w:id="4" w:name="sub_306252"/>
      <w:bookmarkStart w:id="5" w:name="sub_306253"/>
      <w:bookmarkEnd w:id="4"/>
      <w:bookmarkEnd w:id="5"/>
      <w:r w:rsidRPr="008C0254">
        <w:t>2. К бюджетным мерам принуждения относятся: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бесспорное взыскание суммы средств, предоставленных из одного бюджета бюджетной системы Российской Федерации другому бюджету бюджетной системы Российской Федерации;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бесспорное взыскание суммы платы за пользование средствами, предоставленными из одного бюджета бюджетной системы Российской Федерации другому бюджету бюджетной системы Российской Федерации;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бесспорное взыскание пеней за несвоевременный возврат средств бюджета;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both"/>
      </w:pPr>
      <w:r w:rsidRPr="008C0254">
        <w:t>приостановление (сокращение) предоставления межбюджетных трансфертов (за исключением субвенций)</w:t>
      </w:r>
      <w:r>
        <w:t>»</w:t>
      </w:r>
      <w:r w:rsidRPr="008C0254">
        <w:t>.</w:t>
      </w:r>
    </w:p>
    <w:p w:rsidR="008C0254" w:rsidRPr="008C0254" w:rsidRDefault="008C0254" w:rsidP="008C0254">
      <w:pPr>
        <w:rPr>
          <w:lang w:val="ru-RU"/>
        </w:rPr>
      </w:pPr>
    </w:p>
    <w:p w:rsidR="008C0254" w:rsidRPr="008C0254" w:rsidRDefault="008C0254" w:rsidP="008C0254">
      <w:pPr>
        <w:numPr>
          <w:ilvl w:val="0"/>
          <w:numId w:val="4"/>
        </w:numPr>
        <w:suppressAutoHyphens w:val="0"/>
        <w:ind w:left="0" w:firstLine="567"/>
        <w:jc w:val="both"/>
        <w:rPr>
          <w:lang w:val="ru-RU" w:eastAsia="ru-RU"/>
        </w:rPr>
      </w:pPr>
      <w:proofErr w:type="gramStart"/>
      <w:r w:rsidRPr="008C0254">
        <w:rPr>
          <w:lang w:val="ru-RU" w:eastAsia="ru-RU"/>
        </w:rPr>
        <w:t>Контроль за</w:t>
      </w:r>
      <w:proofErr w:type="gramEnd"/>
      <w:r w:rsidRPr="008C0254">
        <w:rPr>
          <w:lang w:val="ru-RU" w:eastAsia="ru-RU"/>
        </w:rPr>
        <w:t> исполнением настоящего решения оставляю за собой.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</w:pPr>
      <w:r w:rsidRPr="008C0254">
        <w:t> 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right"/>
      </w:pPr>
      <w:r w:rsidRPr="008C0254">
        <w:t> 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  <w:jc w:val="right"/>
      </w:pPr>
      <w:r w:rsidRPr="008C0254">
        <w:t> </w:t>
      </w:r>
    </w:p>
    <w:p w:rsidR="008C0254" w:rsidRPr="008C0254" w:rsidRDefault="008C0254" w:rsidP="008C0254">
      <w:pPr>
        <w:pStyle w:val="normalweb"/>
        <w:spacing w:before="0" w:beforeAutospacing="0" w:after="0" w:afterAutospacing="0"/>
        <w:ind w:firstLine="540"/>
      </w:pPr>
      <w:r w:rsidRPr="008C0254">
        <w:t>Глава Старополтавского</w:t>
      </w:r>
    </w:p>
    <w:p w:rsidR="001A693E" w:rsidRPr="008C0254" w:rsidRDefault="008C0254" w:rsidP="008C0254">
      <w:pPr>
        <w:pStyle w:val="normalweb"/>
        <w:spacing w:before="0" w:beforeAutospacing="0" w:after="0" w:afterAutospacing="0"/>
        <w:ind w:firstLine="540"/>
      </w:pPr>
      <w:r w:rsidRPr="008C0254">
        <w:t>сельского поселения                         </w:t>
      </w:r>
      <w:r w:rsidR="00D30663">
        <w:t xml:space="preserve">                                         И.А. Штаймнец</w:t>
      </w:r>
    </w:p>
    <w:sectPr w:rsidR="001A693E" w:rsidRPr="008C0254" w:rsidSect="0009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7AC"/>
    <w:multiLevelType w:val="multilevel"/>
    <w:tmpl w:val="46B8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7D3974"/>
    <w:multiLevelType w:val="multilevel"/>
    <w:tmpl w:val="3FA4D9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B2495C"/>
    <w:multiLevelType w:val="multilevel"/>
    <w:tmpl w:val="32600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73B0F"/>
    <w:multiLevelType w:val="multilevel"/>
    <w:tmpl w:val="E4C01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ED"/>
    <w:rsid w:val="00044FF6"/>
    <w:rsid w:val="000950DD"/>
    <w:rsid w:val="001A693E"/>
    <w:rsid w:val="002F0BED"/>
    <w:rsid w:val="00784B08"/>
    <w:rsid w:val="007A7B4C"/>
    <w:rsid w:val="007C23F2"/>
    <w:rsid w:val="008C0254"/>
    <w:rsid w:val="00D3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1A69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93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  <w:style w:type="paragraph" w:customStyle="1" w:styleId="normalweb">
    <w:name w:val="normalweb"/>
    <w:basedOn w:val="a"/>
    <w:rsid w:val="001A693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Гиперссылка1"/>
    <w:basedOn w:val="a0"/>
    <w:rsid w:val="001A693E"/>
  </w:style>
  <w:style w:type="paragraph" w:styleId="a3">
    <w:name w:val="List Paragraph"/>
    <w:basedOn w:val="a"/>
    <w:uiPriority w:val="34"/>
    <w:qFormat/>
    <w:rsid w:val="001A693E"/>
    <w:pPr>
      <w:ind w:left="720"/>
      <w:contextualSpacing/>
    </w:pPr>
  </w:style>
  <w:style w:type="character" w:styleId="a4">
    <w:name w:val="Hyperlink"/>
    <w:uiPriority w:val="99"/>
    <w:rsid w:val="001A693E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0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663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1A69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93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  <w:style w:type="paragraph" w:customStyle="1" w:styleId="normalweb">
    <w:name w:val="normalweb"/>
    <w:basedOn w:val="a"/>
    <w:rsid w:val="001A693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Гиперссылка1"/>
    <w:basedOn w:val="a0"/>
    <w:rsid w:val="001A693E"/>
  </w:style>
  <w:style w:type="paragraph" w:styleId="a3">
    <w:name w:val="List Paragraph"/>
    <w:basedOn w:val="a"/>
    <w:uiPriority w:val="34"/>
    <w:qFormat/>
    <w:rsid w:val="001A693E"/>
    <w:pPr>
      <w:ind w:left="720"/>
      <w:contextualSpacing/>
    </w:pPr>
  </w:style>
  <w:style w:type="character" w:styleId="a4">
    <w:name w:val="Hyperlink"/>
    <w:uiPriority w:val="99"/>
    <w:rsid w:val="001A693E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0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663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6FFF256-7329-4F0B-8E2E-2FE414324899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home.garant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home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ome.garant.ru/" TargetMode="External"/><Relationship Id="rId20" Type="http://schemas.openxmlformats.org/officeDocument/2006/relationships/hyperlink" Target="https://home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8F21B21C-A408-42C4-B9FE-A939B863C84A" TargetMode="External"/><Relationship Id="rId11" Type="http://schemas.openxmlformats.org/officeDocument/2006/relationships/hyperlink" Target="https://home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home.garant.ru/" TargetMode="External"/><Relationship Id="rId19" Type="http://schemas.openxmlformats.org/officeDocument/2006/relationships/hyperlink" Target="https://hom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Жиром</cp:lastModifiedBy>
  <cp:revision>2</cp:revision>
  <cp:lastPrinted>2025-05-12T08:00:00Z</cp:lastPrinted>
  <dcterms:created xsi:type="dcterms:W3CDTF">2025-05-21T11:30:00Z</dcterms:created>
  <dcterms:modified xsi:type="dcterms:W3CDTF">2025-05-21T11:30:00Z</dcterms:modified>
</cp:coreProperties>
</file>